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rPr>
          <w:rFonts w:hint="eastAsia" w:ascii="微软雅黑" w:hAnsi="微软雅黑" w:eastAsia="微软雅黑" w:cs="微软雅黑"/>
          <w:w w:val="95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w w:val="95"/>
          <w:sz w:val="36"/>
          <w:szCs w:val="36"/>
          <w:lang w:eastAsia="zh-CN"/>
        </w:rPr>
        <w:t>机电工程学院</w:t>
      </w:r>
      <w:r>
        <w:rPr>
          <w:rFonts w:hint="eastAsia" w:ascii="微软雅黑" w:hAnsi="微软雅黑" w:eastAsia="微软雅黑" w:cs="微软雅黑"/>
          <w:w w:val="95"/>
          <w:sz w:val="36"/>
          <w:szCs w:val="36"/>
        </w:rPr>
        <w:t>本科生综合素质测评</w:t>
      </w:r>
      <w:r>
        <w:rPr>
          <w:rFonts w:hint="eastAsia" w:ascii="微软雅黑" w:hAnsi="微软雅黑" w:eastAsia="微软雅黑" w:cs="微软雅黑"/>
          <w:w w:val="95"/>
          <w:sz w:val="36"/>
          <w:szCs w:val="36"/>
          <w:lang w:eastAsia="zh-CN"/>
        </w:rPr>
        <w:t>实施办法（修订）</w:t>
      </w:r>
    </w:p>
    <w:p>
      <w:pPr>
        <w:rPr>
          <w:rFonts w:hint="eastAsia" w:ascii="微软雅黑" w:hAnsi="微软雅黑" w:eastAsia="微软雅黑" w:cs="微软雅黑"/>
          <w:w w:val="95"/>
          <w:sz w:val="36"/>
          <w:szCs w:val="36"/>
          <w:lang w:eastAsia="zh-CN"/>
        </w:rPr>
      </w:pPr>
    </w:p>
    <w:p>
      <w:pPr>
        <w:pStyle w:val="3"/>
        <w:spacing w:line="316" w:lineRule="auto"/>
        <w:ind w:left="224" w:right="24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为全面贯彻党的教育方针，推进学生思想政治教育和管理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工作的科学化、规范化，有效促进学生德智体美劳全面发展，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结合学院实际，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《机电工程学院本科生综合素质测评实施办法（修订）》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406" w:lineRule="exact"/>
        <w:ind w:left="8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一、测评工作原则与结果运用</w:t>
      </w:r>
    </w:p>
    <w:p>
      <w:pPr>
        <w:pStyle w:val="9"/>
        <w:numPr>
          <w:ilvl w:val="0"/>
          <w:numId w:val="1"/>
        </w:numPr>
        <w:tabs>
          <w:tab w:val="left" w:pos="1187"/>
        </w:tabs>
        <w:spacing w:before="130" w:after="0" w:line="316" w:lineRule="auto"/>
        <w:ind w:left="240" w:leftChars="0" w:right="102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测评工作原则。测评工作坚持公开、公平、公正相统一，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定性评价与定量测评相结合。</w:t>
      </w:r>
    </w:p>
    <w:p>
      <w:pPr>
        <w:pStyle w:val="9"/>
        <w:numPr>
          <w:ilvl w:val="0"/>
          <w:numId w:val="1"/>
        </w:numPr>
        <w:tabs>
          <w:tab w:val="left" w:pos="1187"/>
        </w:tabs>
        <w:spacing w:before="0" w:after="0" w:line="316" w:lineRule="auto"/>
        <w:ind w:left="240" w:leftChars="0" w:right="259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测评结果运用。测评结果作为评定各类奖学金和荣誉称 号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工作的重要依据。</w:t>
      </w:r>
    </w:p>
    <w:p>
      <w:pPr>
        <w:pStyle w:val="9"/>
        <w:numPr>
          <w:ilvl w:val="0"/>
          <w:numId w:val="1"/>
        </w:numPr>
        <w:tabs>
          <w:tab w:val="left" w:pos="1187"/>
        </w:tabs>
        <w:spacing w:before="0" w:after="0" w:line="316" w:lineRule="auto"/>
        <w:ind w:left="240" w:leftChars="0" w:right="261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受到警告及以上纪律处分的学生，取消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  <w:lang w:eastAsia="zh-CN"/>
        </w:rPr>
        <w:t>本学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年参与综合素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质测评的资格。</w:t>
      </w:r>
    </w:p>
    <w:p>
      <w:pPr>
        <w:pStyle w:val="3"/>
        <w:spacing w:line="408" w:lineRule="exact"/>
        <w:ind w:left="8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二、测评内容及计分方法</w:t>
      </w:r>
    </w:p>
    <w:p>
      <w:pPr>
        <w:pStyle w:val="9"/>
        <w:numPr>
          <w:ilvl w:val="0"/>
          <w:numId w:val="2"/>
        </w:numPr>
        <w:tabs>
          <w:tab w:val="left" w:pos="1187"/>
        </w:tabs>
        <w:spacing w:before="123" w:after="0" w:line="240" w:lineRule="auto"/>
        <w:ind w:left="1186" w:right="0" w:hanging="32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测评内容包括德、智、体三个方面。</w:t>
      </w:r>
    </w:p>
    <w:p>
      <w:pPr>
        <w:pStyle w:val="9"/>
        <w:numPr>
          <w:ilvl w:val="0"/>
          <w:numId w:val="2"/>
        </w:numPr>
        <w:tabs>
          <w:tab w:val="left" w:pos="1187"/>
        </w:tabs>
        <w:spacing w:before="130" w:after="0" w:line="240" w:lineRule="auto"/>
        <w:ind w:left="1186" w:right="0" w:hanging="32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综合素质测评采用百分制。</w:t>
      </w:r>
    </w:p>
    <w:p>
      <w:pPr>
        <w:pStyle w:val="9"/>
        <w:numPr>
          <w:ilvl w:val="0"/>
          <w:numId w:val="2"/>
        </w:numPr>
        <w:tabs>
          <w:tab w:val="left" w:pos="1204"/>
        </w:tabs>
        <w:spacing w:before="130" w:after="0" w:line="240" w:lineRule="auto"/>
        <w:ind w:left="1203" w:right="0" w:hanging="340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综合素质测评分＝德育素质分×20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yellow"/>
        </w:rPr>
        <w:t>％＋智育素质分</w:t>
      </w:r>
    </w:p>
    <w:p>
      <w:pPr>
        <w:pStyle w:val="9"/>
        <w:widowControl w:val="0"/>
        <w:numPr>
          <w:ilvl w:val="0"/>
          <w:numId w:val="0"/>
        </w:numPr>
        <w:tabs>
          <w:tab w:val="left" w:pos="1204"/>
        </w:tabs>
        <w:autoSpaceDE w:val="0"/>
        <w:autoSpaceDN w:val="0"/>
        <w:spacing w:before="130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（含体育课程成绩）×80％＋综合素质加分。</w:t>
      </w:r>
    </w:p>
    <w:p>
      <w:pPr>
        <w:pStyle w:val="3"/>
        <w:spacing w:before="55" w:line="316" w:lineRule="auto"/>
        <w:ind w:right="2479"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三、测评工作的组织</w:t>
      </w:r>
    </w:p>
    <w:p>
      <w:pPr>
        <w:pStyle w:val="9"/>
        <w:numPr>
          <w:ilvl w:val="0"/>
          <w:numId w:val="3"/>
        </w:numPr>
        <w:tabs>
          <w:tab w:val="left" w:pos="1189"/>
        </w:tabs>
        <w:spacing w:before="0" w:after="0" w:line="316" w:lineRule="auto"/>
        <w:ind w:left="224" w:right="261" w:firstLine="64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5"/>
          <w:sz w:val="32"/>
          <w:szCs w:val="32"/>
        </w:rPr>
        <w:t>测评由各学院学生工作办公室负责组织实施，以班或专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业为单位进行，进行前一学年的综合测评工作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3"/>
        </w:numPr>
        <w:tabs>
          <w:tab w:val="left" w:pos="1187"/>
        </w:tabs>
        <w:spacing w:before="0" w:after="0" w:line="316" w:lineRule="auto"/>
        <w:ind w:left="224" w:right="261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测评小组在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辅导员和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  <w:lang w:eastAsia="zh-CN"/>
        </w:rPr>
        <w:t>班主任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指导下组建。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班级测评小组 由班长、团支书和学生代表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或全体学生组成，专业测评小组应 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具有广泛代表性。</w:t>
      </w:r>
    </w:p>
    <w:p>
      <w:pPr>
        <w:pStyle w:val="9"/>
        <w:numPr>
          <w:ilvl w:val="0"/>
          <w:numId w:val="3"/>
        </w:numPr>
        <w:tabs>
          <w:tab w:val="left" w:pos="1189"/>
        </w:tabs>
        <w:spacing w:before="0" w:after="0" w:line="316" w:lineRule="auto"/>
        <w:ind w:left="224" w:right="261" w:firstLine="64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综合测评分以班级为单位进行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由高到低排序。</w:t>
      </w:r>
    </w:p>
    <w:p>
      <w:pPr>
        <w:pStyle w:val="9"/>
        <w:numPr>
          <w:ilvl w:val="0"/>
          <w:numId w:val="0"/>
        </w:numPr>
        <w:tabs>
          <w:tab w:val="left" w:pos="1189"/>
        </w:tabs>
        <w:spacing w:before="0" w:after="0" w:line="316" w:lineRule="auto"/>
        <w:ind w:left="864" w:leftChars="0" w:right="261" w:rightChars="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pStyle w:val="9"/>
        <w:numPr>
          <w:ilvl w:val="0"/>
          <w:numId w:val="3"/>
        </w:numPr>
        <w:tabs>
          <w:tab w:val="left" w:pos="1187"/>
        </w:tabs>
        <w:spacing w:before="122" w:after="0" w:line="240" w:lineRule="auto"/>
        <w:ind w:left="1186" w:right="0" w:hanging="32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测评具体程序如下：</w:t>
      </w:r>
    </w:p>
    <w:p>
      <w:pPr>
        <w:pStyle w:val="9"/>
        <w:numPr>
          <w:ilvl w:val="0"/>
          <w:numId w:val="4"/>
        </w:numPr>
        <w:tabs>
          <w:tab w:val="left" w:pos="1665"/>
        </w:tabs>
        <w:spacing w:before="130" w:after="0" w:line="316" w:lineRule="auto"/>
        <w:ind w:left="224" w:right="24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测评小组组织测评，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班主任指导下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填写综合素质测评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统计表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班级公示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确认后报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送学院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9"/>
        <w:numPr>
          <w:ilvl w:val="0"/>
          <w:numId w:val="4"/>
        </w:numPr>
        <w:tabs>
          <w:tab w:val="left" w:pos="1665"/>
        </w:tabs>
        <w:spacing w:before="0" w:after="0" w:line="316" w:lineRule="auto"/>
        <w:ind w:left="224" w:right="264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学院学生工作办公室对学生综合素质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测评分进行审核、认定；</w:t>
      </w:r>
    </w:p>
    <w:p>
      <w:pPr>
        <w:pStyle w:val="9"/>
        <w:numPr>
          <w:ilvl w:val="0"/>
          <w:numId w:val="4"/>
        </w:numPr>
        <w:tabs>
          <w:tab w:val="left" w:pos="1681"/>
        </w:tabs>
        <w:spacing w:before="127" w:after="0" w:line="316" w:lineRule="auto"/>
        <w:ind w:left="224" w:right="261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学院统一对综合素质测评分予以公示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，测评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结果在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 w:bidi="ar"/>
        </w:rPr>
        <w:t>“林科大机电团委学生会”公众号上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bidi="ar"/>
        </w:rPr>
        <w:t>公示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none"/>
          <w:shd w:val="clear" w:color="auto" w:fill="FFFFFF"/>
          <w:lang w:bidi="ar"/>
        </w:rPr>
        <w:t>天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。学生对公示结果有异议的，可在公示期内向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学院学生工</w:t>
      </w:r>
      <w:r>
        <w:rPr>
          <w:rFonts w:hint="eastAsia" w:ascii="仿宋_GB2312" w:hAnsi="仿宋_GB2312" w:eastAsia="仿宋_GB2312" w:cs="仿宋_GB2312"/>
          <w:sz w:val="32"/>
          <w:szCs w:val="32"/>
        </w:rPr>
        <w:t>作办公室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提出申述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。</w:t>
      </w:r>
    </w:p>
    <w:p>
      <w:pPr>
        <w:pStyle w:val="9"/>
        <w:numPr>
          <w:ilvl w:val="0"/>
          <w:numId w:val="0"/>
        </w:numPr>
        <w:tabs>
          <w:tab w:val="left" w:pos="1665"/>
        </w:tabs>
        <w:spacing w:before="0" w:after="0" w:line="316" w:lineRule="auto"/>
        <w:ind w:left="864" w:leftChars="0" w:right="120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四、德育素质测评</w:t>
      </w:r>
    </w:p>
    <w:p>
      <w:pPr>
        <w:pStyle w:val="3"/>
        <w:spacing w:line="316" w:lineRule="auto"/>
        <w:ind w:left="224" w:right="261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测评小组在辅导员和班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的指导下，以《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机电工程学院学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生德育素质评议参考指标》（附件1）为依据，评出每位学生</w:t>
      </w:r>
    </w:p>
    <w:p>
      <w:pPr>
        <w:pStyle w:val="3"/>
        <w:spacing w:before="55"/>
        <w:ind w:firstLine="304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的德育素质分。</w:t>
      </w:r>
    </w:p>
    <w:p>
      <w:pPr>
        <w:pStyle w:val="3"/>
        <w:spacing w:before="130"/>
        <w:ind w:left="8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五、智育素质（含体育课程成绩）测评</w:t>
      </w:r>
    </w:p>
    <w:p>
      <w:pPr>
        <w:pStyle w:val="3"/>
        <w:spacing w:before="130" w:line="316" w:lineRule="auto"/>
        <w:ind w:left="224" w:right="264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智育素质分（含体育课程成绩）由本科生院教务管理系统 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自动生成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，考察学生非选修及非辅修课程正常考试成绩，取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平均学分绩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408" w:lineRule="exact"/>
        <w:ind w:left="8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六、综合素质加分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综合素质加分项由突出贡献加分、先进典型加分和学生干 部社会工作加分构成。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>符合加分条件的学生须向测评小组提供 有关证书原件或证明材料，同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  <w:lang w:eastAsia="zh-CN"/>
        </w:rPr>
        <w:t>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</w:rPr>
        <w:t xml:space="preserve">项目加分按最高分计算，不重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复累计。综合素质总加分上限为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分。</w:t>
      </w:r>
    </w:p>
    <w:p>
      <w:pPr>
        <w:pStyle w:val="3"/>
        <w:spacing w:line="405" w:lineRule="exact"/>
        <w:ind w:left="86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（一）突出贡献加分</w:t>
      </w: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lang w:eastAsia="zh-CN"/>
        </w:rPr>
        <w:t>（论文拿到竞赛奖的可以同时</w:t>
      </w: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lang w:val="en-US" w:eastAsia="zh-CN"/>
        </w:rPr>
        <w:t>1、2加分</w:t>
      </w: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lang w:eastAsia="zh-CN"/>
        </w:rPr>
        <w:t>）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1.科技、学术、文化、体育等各类竞赛加分见附件2。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.学年内公开发表高水平学术论文和学术作品，经测评小组鉴定属实的，一级期刊每篇加5.0分，核心期刊每篇加3.0分，依作者排序前3名权重系数依次为1、0.6、0.4，第4名及以后权重系数均为0.2。如有弄虚作假行为，取消本学年综合素质测评资格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3.学年内科技作品或创造发明获国家专利授权，经测评小 组鉴定属实的，发明创造专利授权每项加3.0分，实用新型专利授权每项加2.0分，依作者排序前3名权重系数依次为1、0.6、0.4，第4名及以后权重系数均为0.2。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4.学年内获得社会公益部门、协会、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  <w:lang w:val="en-US" w:eastAsia="zh-CN"/>
        </w:rPr>
        <w:t>杂志社等机构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及校级、院级举办活动奖项，前三名或一等奖加0.6分，前六名或二、三等奖加0.4分，此项加分上限为1.8分。</w:t>
      </w:r>
    </w:p>
    <w:p>
      <w:pPr>
        <w:pStyle w:val="3"/>
        <w:spacing w:line="404" w:lineRule="exact"/>
        <w:ind w:left="8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（二）先进典型类加分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1.在见义勇为、热心公益、拾金不昧、孝老爱亲等方面有突出事迹并宣传报道的加3.0分，依国家级、省级、校级媒体权重系数依次为1、0.6、0.4。</w:t>
      </w:r>
      <w:bookmarkStart w:id="0" w:name="_GoBack"/>
      <w:bookmarkEnd w:id="0"/>
    </w:p>
    <w:p>
      <w:pPr>
        <w:pStyle w:val="3"/>
        <w:spacing w:before="130" w:line="316" w:lineRule="auto"/>
        <w:ind w:left="224" w:right="264" w:firstLine="640"/>
        <w:jc w:val="both"/>
        <w:rPr>
          <w:rFonts w:hint="default" w:ascii="仿宋_GB2312" w:hAnsi="仿宋_GB2312" w:eastAsia="仿宋_GB2312" w:cs="仿宋_GB2312"/>
          <w:color w:val="FF0000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yellow"/>
          <w:lang w:val="en-US" w:eastAsia="zh-CN"/>
        </w:rPr>
        <w:t>获得省级、校级、院级“三好学生”、“优秀学生干部”、“优秀共产党员”、“优秀共青团员（团干）”称号，加1.5分、1.0分、0.5分。</w:t>
      </w: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highlight w:val="none"/>
          <w:lang w:val="en-US" w:eastAsia="zh-CN"/>
        </w:rPr>
        <w:t>具体以证书的落款时间为准，落款时间在测评学年范围内即可加分。各类奖学金不加分。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3.获得先进集体的成员加1.0分，依省级、校级、院级权重系数依次为1、0.6、0.4。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4.通过CET6考试加1分，CET4考试加0.5分。</w:t>
      </w: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lang w:val="en-US" w:eastAsia="zh-CN"/>
        </w:rPr>
        <w:t>CET4、CET6不叠加。CET的考试时间不作限制。普通话、驾驶证等证书不加分。</w:t>
      </w:r>
    </w:p>
    <w:p>
      <w:pPr>
        <w:pStyle w:val="3"/>
        <w:spacing w:before="130" w:line="316" w:lineRule="auto"/>
        <w:ind w:left="224" w:right="264" w:firstLine="640"/>
        <w:jc w:val="both"/>
        <w:rPr>
          <w:rFonts w:hint="default" w:ascii="仿宋_GB2312" w:hAnsi="仿宋_GB2312" w:eastAsia="仿宋_GB2312" w:cs="仿宋_GB2312"/>
          <w:color w:val="FF000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w w:val="95"/>
          <w:sz w:val="32"/>
          <w:szCs w:val="32"/>
          <w:lang w:val="en-US" w:eastAsia="zh-CN"/>
        </w:rPr>
        <w:t>5.校、院团委学生会评的个人奖项，每张证书0.1分（该类加分上限为0.5分）比如：优秀干事、优秀个人、每月之星、优秀志愿者等。</w:t>
      </w:r>
    </w:p>
    <w:p>
      <w:pPr>
        <w:pStyle w:val="3"/>
        <w:spacing w:before="55"/>
        <w:ind w:firstLine="912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（三）学生干部社会工作加分</w:t>
      </w:r>
    </w:p>
    <w:p>
      <w:pPr>
        <w:pStyle w:val="3"/>
        <w:spacing w:before="130" w:line="316" w:lineRule="auto"/>
        <w:ind w:left="224" w:right="10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学生干部社会工作加分依据岗位类别和学年任职考核结 果确定，其加分不能超过附件3所列相应分值。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经学院认定，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有失职和渎职行为造成不良后果的学生干部，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不予加分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</w:p>
    <w:p>
      <w:pPr>
        <w:pStyle w:val="3"/>
        <w:spacing w:before="130" w:line="316" w:lineRule="auto"/>
        <w:ind w:left="224" w:right="103"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本办法中未提及的奖项，奖励分值由学院学生工办公室协商认定。</w:t>
      </w:r>
    </w:p>
    <w:p>
      <w:pPr>
        <w:pStyle w:val="3"/>
        <w:spacing w:line="316" w:lineRule="auto"/>
        <w:ind w:left="224" w:right="240" w:firstLine="640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、本办法自20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月1日起施行，由学生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工作办公室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负责解释。原有规定与本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实施办法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不一致的，以本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实施办法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准。</w:t>
      </w:r>
    </w:p>
    <w:p>
      <w:pPr>
        <w:pStyle w:val="3"/>
        <w:spacing w:before="223"/>
        <w:ind w:left="864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pStyle w:val="3"/>
        <w:spacing w:before="223"/>
        <w:ind w:firstLine="912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机电工程学院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本科生德育素质评议参考指标</w:t>
      </w:r>
    </w:p>
    <w:p>
      <w:pPr>
        <w:pStyle w:val="9"/>
        <w:numPr>
          <w:ilvl w:val="1"/>
          <w:numId w:val="5"/>
        </w:numPr>
        <w:tabs>
          <w:tab w:val="left" w:pos="2147"/>
        </w:tabs>
        <w:spacing w:before="130" w:after="0" w:line="240" w:lineRule="auto"/>
        <w:ind w:left="2146" w:right="0" w:hanging="32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w w:val="95"/>
          <w:sz w:val="32"/>
          <w:szCs w:val="32"/>
        </w:rPr>
        <w:t>科技、学术、文化、体育等各类竞赛加分指导分值</w:t>
      </w:r>
    </w:p>
    <w:p>
      <w:pPr>
        <w:pStyle w:val="9"/>
        <w:numPr>
          <w:ilvl w:val="1"/>
          <w:numId w:val="5"/>
        </w:numPr>
        <w:tabs>
          <w:tab w:val="left" w:pos="2147"/>
        </w:tabs>
        <w:spacing w:before="130" w:after="0" w:line="316" w:lineRule="auto"/>
        <w:ind w:left="2064" w:right="881" w:hanging="24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1580" w:right="1380" w:bottom="1160" w:left="1420" w:header="0" w:footer="974" w:gutter="0"/>
          <w:cols w:space="720" w:num="1"/>
        </w:sect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学生干部岗位类别与学年任期考核加分指导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分值</w:t>
      </w:r>
    </w:p>
    <w:p>
      <w:pPr>
        <w:spacing w:after="0"/>
        <w:rPr>
          <w:sz w:val="29"/>
        </w:rPr>
        <w:sectPr>
          <w:footerReference r:id="rId5" w:type="default"/>
          <w:footerReference r:id="rId6" w:type="even"/>
          <w:pgSz w:w="11910" w:h="16840"/>
          <w:pgMar w:top="1580" w:right="1380" w:bottom="1160" w:left="1420" w:header="0" w:footer="974" w:gutter="0"/>
          <w:cols w:space="720" w:num="1"/>
        </w:sectPr>
      </w:pPr>
    </w:p>
    <w:p>
      <w:pPr>
        <w:pStyle w:val="3"/>
        <w:spacing w:before="55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w w:val="95"/>
        </w:rPr>
        <w:t>附件1</w:t>
      </w:r>
    </w:p>
    <w:p>
      <w:pPr>
        <w:pStyle w:val="3"/>
        <w:spacing w:before="11"/>
        <w:rPr>
          <w:rFonts w:hint="eastAsia" w:ascii="宋体" w:hAnsi="宋体" w:eastAsia="宋体" w:cs="宋体"/>
          <w:sz w:val="56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pStyle w:val="3"/>
        <w:spacing w:before="1"/>
        <w:rPr>
          <w:rFonts w:hint="eastAsia" w:ascii="宋体" w:hAnsi="宋体" w:eastAsia="宋体" w:cs="宋体"/>
        </w:rPr>
      </w:pPr>
      <w:r>
        <w:rPr>
          <w:rFonts w:hint="eastAsia" w:cs="宋体"/>
          <w:w w:val="95"/>
          <w:lang w:eastAsia="zh-CN"/>
        </w:rPr>
        <w:t>机电工程学院</w:t>
      </w:r>
      <w:r>
        <w:rPr>
          <w:rFonts w:hint="eastAsia" w:ascii="宋体" w:hAnsi="宋体" w:eastAsia="宋体" w:cs="宋体"/>
          <w:w w:val="95"/>
        </w:rPr>
        <w:t>本科生德育素质评议参考指标</w:t>
      </w:r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1580" w:right="1380" w:bottom="1160" w:left="1420" w:header="720" w:footer="720" w:gutter="0"/>
          <w:cols w:equalWidth="0" w:num="2">
            <w:col w:w="1065" w:space="524"/>
            <w:col w:w="7521"/>
          </w:cols>
        </w:sectPr>
      </w:pPr>
    </w:p>
    <w:p>
      <w:pPr>
        <w:pStyle w:val="3"/>
        <w:spacing w:before="6"/>
        <w:rPr>
          <w:rFonts w:ascii="PMingLiU"/>
          <w:sz w:val="7"/>
        </w:rPr>
      </w:pPr>
    </w:p>
    <w:p>
      <w:pPr>
        <w:spacing w:after="0" w:line="251" w:lineRule="exact"/>
        <w:jc w:val="both"/>
        <w:rPr>
          <w:sz w:val="21"/>
        </w:rPr>
      </w:pPr>
    </w:p>
    <w:tbl>
      <w:tblPr>
        <w:tblStyle w:val="6"/>
        <w:tblW w:w="9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646"/>
        <w:gridCol w:w="5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指标（100 分）</w:t>
            </w:r>
          </w:p>
        </w:tc>
        <w:tc>
          <w:tcPr>
            <w:tcW w:w="2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一、政治素质（40分）</w:t>
            </w: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1.政治学习态度（20分）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考核参与政治学习及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“青年大学习”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教学活动的表现，党员参与支部活动的表现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2.政治上进心（20分）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考核是否主动递交入党申请书，有无向党组织靠拢，是否积极参加各项政治活动。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二、思想品质（20分）</w:t>
            </w:r>
          </w:p>
        </w:tc>
        <w:tc>
          <w:tcPr>
            <w:tcW w:w="2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1.世界观、人生观、价值观（10分）</w:t>
            </w:r>
          </w:p>
        </w:tc>
        <w:tc>
          <w:tcPr>
            <w:tcW w:w="54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考核是否有积极进取、乐观向上的人生态度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2.创新意识和竞争性（5分）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考核是否在课堂学习、课外实践环节中具有创新表现和竞争意识。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3.劳动观念和艰苦奋斗精神（5分）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考核在实习、公益劳动、社会实践和宿舍集体生活中的表现。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三、道德品质（20分）</w:t>
            </w: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1.社会责任感（5分）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考核有无强烈的社会责任感和担当精神， 是否能向善取义，助人为乐。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2.学习态度（5分）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考核有无求真精神，学习态度是否端正。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3.集体主义精神和奉献精神（5分）</w:t>
            </w:r>
          </w:p>
        </w:tc>
        <w:tc>
          <w:tcPr>
            <w:tcW w:w="5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考核在各级集体、组织中的表现，是否积极主动参加并发挥重要作用，是否积极参加献爱心和志愿者活动。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4.基本道德素质（5分）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考核其言行举止是否合乎道德标准。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四、德能素质（20分）</w:t>
            </w:r>
          </w:p>
        </w:tc>
        <w:tc>
          <w:tcPr>
            <w:tcW w:w="2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1.人际交往能力（5分）</w:t>
            </w:r>
          </w:p>
        </w:tc>
        <w:tc>
          <w:tcPr>
            <w:tcW w:w="54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考核能否团结同学，主动建立和谐的人际关系。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2.人文涵养（5分）</w:t>
            </w:r>
          </w:p>
        </w:tc>
        <w:tc>
          <w:tcPr>
            <w:tcW w:w="54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考核有无良好的审美情趣和文化艺术修养。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3.心理素质（5分）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考核能否从容面对困难与挫折、调适心理困扰能力；心理是否健康。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4.社会适应与自理能力（5分）</w:t>
            </w:r>
          </w:p>
        </w:tc>
        <w:tc>
          <w:tcPr>
            <w:tcW w:w="5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考核其环境适应能力和自我教育、自我管理、自我服务能力。</w:t>
            </w:r>
          </w:p>
        </w:tc>
      </w:tr>
    </w:tbl>
    <w:p>
      <w:pPr>
        <w:spacing w:after="0" w:line="251" w:lineRule="exact"/>
        <w:jc w:val="both"/>
        <w:rPr>
          <w:sz w:val="21"/>
        </w:rPr>
        <w:sectPr>
          <w:type w:val="continuous"/>
          <w:pgSz w:w="11910" w:h="16840"/>
          <w:pgMar w:top="1580" w:right="1380" w:bottom="1160" w:left="1420" w:header="720" w:footer="720" w:gutter="0"/>
          <w:cols w:space="720" w:num="1"/>
        </w:sectPr>
      </w:pPr>
    </w:p>
    <w:p>
      <w:pPr>
        <w:pStyle w:val="3"/>
        <w:spacing w:before="5"/>
        <w:rPr>
          <w:rFonts w:ascii="PMingLiU"/>
          <w:sz w:val="7"/>
        </w:rPr>
      </w:pPr>
    </w:p>
    <w:p>
      <w:pPr>
        <w:pStyle w:val="3"/>
        <w:spacing w:before="55"/>
        <w:ind w:left="224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w w:val="95"/>
          <w:sz w:val="32"/>
          <w:szCs w:val="32"/>
        </w:rPr>
        <w:t>附件2</w:t>
      </w:r>
    </w:p>
    <w:p>
      <w:pPr>
        <w:pStyle w:val="3"/>
        <w:spacing w:before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ind w:left="101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w w:val="95"/>
          <w:sz w:val="32"/>
          <w:szCs w:val="32"/>
        </w:rPr>
        <w:t>科技、学术、文化、体育等各类竞赛加分指导分值</w:t>
      </w:r>
    </w:p>
    <w:p>
      <w:pPr>
        <w:pStyle w:val="3"/>
        <w:spacing w:before="3"/>
        <w:rPr>
          <w:rFonts w:ascii="PMingLiU"/>
          <w:sz w:val="16"/>
        </w:rPr>
      </w:pPr>
    </w:p>
    <w:tbl>
      <w:tblPr>
        <w:tblStyle w:val="6"/>
        <w:tblW w:w="0" w:type="auto"/>
        <w:tblInd w:w="6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2308"/>
        <w:gridCol w:w="27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5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名次等级</w:t>
            </w:r>
          </w:p>
        </w:tc>
        <w:tc>
          <w:tcPr>
            <w:tcW w:w="23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298" w:right="280"/>
              <w:jc w:val="center"/>
              <w:rPr>
                <w:sz w:val="24"/>
              </w:rPr>
            </w:pPr>
            <w:r>
              <w:rPr>
                <w:sz w:val="24"/>
              </w:rPr>
              <w:t>前三名或一等奖</w:t>
            </w:r>
          </w:p>
        </w:tc>
        <w:tc>
          <w:tcPr>
            <w:tcW w:w="27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09"/>
              <w:ind w:left="260" w:right="235"/>
              <w:jc w:val="center"/>
              <w:rPr>
                <w:sz w:val="24"/>
              </w:rPr>
            </w:pPr>
            <w:r>
              <w:rPr>
                <w:sz w:val="24"/>
              </w:rPr>
              <w:t>前六名或二、三等奖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3" w:type="dxa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208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208"/>
              <w:ind w:left="1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spacing w:before="208"/>
              <w:ind w:left="260" w:right="23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53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部省市级</w:t>
            </w:r>
          </w:p>
        </w:tc>
        <w:tc>
          <w:tcPr>
            <w:tcW w:w="23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298" w:right="28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spacing w:before="209"/>
              <w:ind w:left="260" w:right="23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53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10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  <w:tc>
          <w:tcPr>
            <w:tcW w:w="230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10"/>
              <w:ind w:left="298" w:right="28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7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10"/>
              <w:ind w:left="260" w:right="23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876" w:right="861"/>
              <w:jc w:val="center"/>
              <w:rPr>
                <w:sz w:val="24"/>
              </w:rPr>
            </w:pPr>
            <w:r>
              <w:rPr>
                <w:sz w:val="24"/>
              </w:rPr>
              <w:t>院级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9"/>
              <w:ind w:left="298" w:right="28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209"/>
              <w:ind w:left="260" w:right="235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</w:tr>
    </w:tbl>
    <w:p>
      <w:pPr>
        <w:spacing w:before="237"/>
        <w:ind w:left="644" w:right="0" w:firstLine="0"/>
        <w:jc w:val="left"/>
        <w:rPr>
          <w:rFonts w:ascii="宋体" w:hAnsi="宋体" w:eastAsia="宋体" w:cs="宋体"/>
          <w:sz w:val="24"/>
          <w:szCs w:val="22"/>
          <w:lang w:val="en-US" w:eastAsia="zh-CN" w:bidi="ar-SA"/>
        </w:rPr>
        <w:sectPr>
          <w:pgSz w:w="11910" w:h="16840"/>
          <w:pgMar w:top="1580" w:right="1380" w:bottom="1160" w:left="1420" w:header="0" w:footer="974" w:gutter="0"/>
          <w:cols w:space="720" w:num="1"/>
        </w:sectPr>
      </w:pPr>
      <w:r>
        <w:rPr>
          <w:rFonts w:ascii="宋体" w:hAnsi="宋体" w:eastAsia="宋体" w:cs="宋体"/>
          <w:sz w:val="24"/>
          <w:szCs w:val="22"/>
          <w:lang w:val="en-US" w:eastAsia="zh-CN" w:bidi="ar-SA"/>
        </w:rPr>
        <w:t>注：集体项目分值减半加分；同一项比赛取最高分，不重复加分。</w:t>
      </w:r>
    </w:p>
    <w:p>
      <w:pPr>
        <w:pStyle w:val="3"/>
        <w:rPr>
          <w:sz w:val="20"/>
        </w:rPr>
      </w:pPr>
    </w:p>
    <w:p>
      <w:pPr>
        <w:spacing w:before="58"/>
        <w:ind w:left="224" w:right="0" w:firstLine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附件3</w:t>
      </w:r>
    </w:p>
    <w:p>
      <w:pPr>
        <w:pStyle w:val="3"/>
        <w:spacing w:before="6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before="68"/>
        <w:ind w:left="1323" w:right="1363"/>
        <w:jc w:val="center"/>
        <w:rPr>
          <w:rFonts w:hint="eastAsia" w:ascii="宋体" w:hAnsi="宋体" w:eastAsia="宋体" w:cs="宋体"/>
          <w:w w:val="95"/>
          <w:sz w:val="32"/>
          <w:szCs w:val="32"/>
        </w:rPr>
      </w:pPr>
      <w:r>
        <w:rPr>
          <w:rFonts w:hint="eastAsia" w:ascii="宋体" w:hAnsi="宋体" w:eastAsia="宋体" w:cs="宋体"/>
          <w:w w:val="95"/>
          <w:sz w:val="32"/>
          <w:szCs w:val="32"/>
        </w:rPr>
        <w:t>学生干部岗位类别与学年任期考核加分指导分值</w:t>
      </w:r>
    </w:p>
    <w:tbl>
      <w:tblPr>
        <w:tblStyle w:val="6"/>
        <w:tblpPr w:leftFromText="180" w:rightFromText="180" w:vertAnchor="text" w:horzAnchor="page" w:tblpX="2724" w:tblpY="370"/>
        <w:tblOverlap w:val="never"/>
        <w:tblW w:w="6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  <w:gridCol w:w="24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校团学及院团学主席团、正部长（主任）；班级班长、团支书；学生党支部支委会成员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；学院助理；</w:t>
            </w:r>
            <w:r>
              <w:rPr>
                <w:rFonts w:hint="eastAsia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代班；协会会长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校团学及院团学副部长（主任）；班级除班长、团支书之外其他班委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代助；协会副会长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其他学生干部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</w:tbl>
    <w:p>
      <w:pPr>
        <w:pStyle w:val="3"/>
        <w:spacing w:before="68"/>
        <w:ind w:left="1323" w:right="1363"/>
        <w:jc w:val="left"/>
        <w:rPr>
          <w:rFonts w:hint="eastAsia" w:ascii="宋体" w:hAnsi="宋体" w:eastAsia="宋体" w:cs="宋体"/>
          <w:color w:val="FF0000"/>
          <w:w w:val="95"/>
          <w:sz w:val="28"/>
          <w:szCs w:val="28"/>
          <w:lang w:eastAsia="zh-CN"/>
        </w:rPr>
      </w:pPr>
      <w:r>
        <w:rPr>
          <w:rFonts w:hint="eastAsia" w:cs="宋体"/>
          <w:color w:val="FF0000"/>
          <w:w w:val="95"/>
          <w:sz w:val="28"/>
          <w:szCs w:val="28"/>
          <w:lang w:eastAsia="zh-CN"/>
        </w:rPr>
        <w:t>学生干部加分可以叠加。</w:t>
      </w:r>
    </w:p>
    <w:p>
      <w:pPr>
        <w:pStyle w:val="3"/>
        <w:spacing w:before="1"/>
        <w:rPr>
          <w:rFonts w:ascii="PMingLiU"/>
          <w:sz w:val="16"/>
        </w:rPr>
      </w:pPr>
    </w:p>
    <w:p>
      <w:pPr>
        <w:pStyle w:val="3"/>
        <w:spacing w:before="2"/>
        <w:rPr>
          <w:sz w:val="10"/>
        </w:rPr>
      </w:pPr>
    </w:p>
    <w:sectPr>
      <w:pgSz w:w="11910" w:h="16840"/>
      <w:pgMar w:top="1580" w:right="1380" w:bottom="1160" w:left="1420" w:header="0" w:footer="9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1" w:fontKey="{933F5932-8A51-4A8D-B67F-3B11806C216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7BBE464E-DAEA-4616-B372-916383B80D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FE9953-E19E-44CE-9ADD-F3B16EC85A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224" w:hanging="800"/>
        <w:jc w:val="left"/>
      </w:pPr>
      <w:rPr>
        <w:rFonts w:hint="default" w:ascii="宋体" w:hAnsi="宋体" w:eastAsia="宋体" w:cs="宋体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9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7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6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5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4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28" w:hanging="800"/>
      </w:pPr>
      <w:rPr>
        <w:rFonts w:hint="default"/>
        <w:lang w:val="en-US" w:eastAsia="zh-CN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86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72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65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57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50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35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28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0" w:hanging="322"/>
      </w:pPr>
      <w:rPr>
        <w:rFonts w:hint="default"/>
        <w:lang w:val="en-US" w:eastAsia="zh-CN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40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9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5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6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51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4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28" w:hanging="322"/>
      </w:pPr>
      <w:rPr>
        <w:rFonts w:hint="default"/>
        <w:lang w:val="en-US" w:eastAsia="zh-CN" w:bidi="ar-SA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24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2146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4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88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6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36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10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8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58" w:hanging="322"/>
      </w:pPr>
      <w:rPr>
        <w:rFonts w:hint="default"/>
        <w:lang w:val="en-US" w:eastAsia="zh-CN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24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8" w:hanging="3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97" w:hanging="3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85" w:hanging="3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74" w:hanging="3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63" w:hanging="3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51" w:hanging="3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40" w:hanging="3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28" w:hanging="324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RmYmEwYjAyMDBjMjJmNmI3NjdhYmNlMjAwOGVhNDgifQ=="/>
  </w:docVars>
  <w:rsids>
    <w:rsidRoot w:val="00000000"/>
    <w:rsid w:val="0009521A"/>
    <w:rsid w:val="01626994"/>
    <w:rsid w:val="045F4CE9"/>
    <w:rsid w:val="0AE37A2E"/>
    <w:rsid w:val="0B1F1AC0"/>
    <w:rsid w:val="112023CE"/>
    <w:rsid w:val="1300553A"/>
    <w:rsid w:val="22F47E11"/>
    <w:rsid w:val="272421D0"/>
    <w:rsid w:val="2866008F"/>
    <w:rsid w:val="294C0DA5"/>
    <w:rsid w:val="2D2C7468"/>
    <w:rsid w:val="2DEA0DB6"/>
    <w:rsid w:val="3946290F"/>
    <w:rsid w:val="39D8004E"/>
    <w:rsid w:val="40DD03AA"/>
    <w:rsid w:val="42732201"/>
    <w:rsid w:val="465D4CF1"/>
    <w:rsid w:val="48710F6F"/>
    <w:rsid w:val="4A1603CD"/>
    <w:rsid w:val="4A1B00D1"/>
    <w:rsid w:val="4B24068D"/>
    <w:rsid w:val="4D2734B3"/>
    <w:rsid w:val="4F7620D3"/>
    <w:rsid w:val="5AD709B4"/>
    <w:rsid w:val="60AE7F68"/>
    <w:rsid w:val="65AB2B63"/>
    <w:rsid w:val="670D7F1C"/>
    <w:rsid w:val="6CB84AE3"/>
    <w:rsid w:val="6D1576AA"/>
    <w:rsid w:val="74085CDD"/>
    <w:rsid w:val="775A1009"/>
    <w:rsid w:val="7DF47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92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4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2582</Words>
  <Characters>2691</Characters>
  <TotalTime>237</TotalTime>
  <ScaleCrop>false</ScaleCrop>
  <LinksUpToDate>false</LinksUpToDate>
  <CharactersWithSpaces>2705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2020-10-28T08:31:00Z</dcterms:created>
  <dc:creator>麻利旺</dc:creator>
  <cp:lastModifiedBy>silence </cp:lastModifiedBy>
  <cp:lastPrinted>2022-09-08T02:16:00Z</cp:lastPrinted>
  <dcterms:modified xsi:type="dcterms:W3CDTF">2023-10-17T07:14:34Z</dcterms:modified>
  <dc:title>中大学字〔2014〕56号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2020-10-28T00:00:00Z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6B0B6445C78D44F3BD7F5325637ABC65</vt:lpwstr>
  </property>
</Properties>
</file>